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97" w:rsidRDefault="00874597" w:rsidP="0087459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874597" w:rsidRDefault="00874597" w:rsidP="00874597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ՉՈՐՍ ՔԱՂԱՔԱՑԻՆԵՐԻՆ ՍԵՓԱԿԱՆՈՒԹՅԱՆ  ԻՐԱՎՈՒՆՔՈՎ ՊԱՏԿԱՆՈՂ  ՏՐԱՆՍՊՈՐՏԱՅԻՆ ՄԻՋՈՑՆԵՐԻ ԳՈՒՅՔԱՀԱՐԿԻ  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874597" w:rsidRDefault="00874597" w:rsidP="00874597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874597" w:rsidRDefault="00874597" w:rsidP="00874597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Թվով չորս քաղաքացիներին սեփականության իրավունքով պատկանող  տրանսպորտային միջոցների գույքահարկի տույժերի վճարումների նկատմամբ արտոնություն սահմանելը պայմանավորված է նրանով, որ համաձայն դիմամատուների դիմումների տրանսպորտային միջոցները հիմնականում ենթակա չեն հետագա շահագործման, խոտանված են, դուրս են հանվել Հայաստանի Հանրապետությունից, հաշվի է առնվել նաև դիմումատուների սոցիալական վիճակը:  </w:t>
      </w:r>
    </w:p>
    <w:p w:rsidR="00874597" w:rsidRDefault="00874597" w:rsidP="00874597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874597" w:rsidRDefault="00874597" w:rsidP="00874597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874597" w:rsidRDefault="00874597" w:rsidP="00874597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874597" w:rsidRDefault="00874597" w:rsidP="0087459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874597" w:rsidRDefault="00874597" w:rsidP="00874597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874597" w:rsidRDefault="00874597" w:rsidP="00874597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ՉՈՐՍ ՔԱՂԱՔԱՑԻՆԵՐԻՆ ՍԵՓԱԿԱՆՈՒԹՅԱՆ  ԻՐԱՎՈՒՆՔՈՎ ՊԱՏԿԱՆՈՂ  ՏՐԱՆՍՊՈՐՏԱՅԻՆ ՄԻՋՈՑՆԵՐԻ ԳՈՒՅՔԱՀԱՐԿԻ  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 ԹՎԱԿԱՆԻ ԲՅՈՒՋԵՈՒՄ ԾԱԽՍԵՐԻ ԵՎ ԵԿԱՄՈՒՏՆԵՐԻ ՓՈՓՈԽՈՒԹՅԱՆ ՄԱՍԻՆ</w:t>
      </w:r>
    </w:p>
    <w:p w:rsidR="00874597" w:rsidRDefault="00874597" w:rsidP="00874597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874597" w:rsidRDefault="00874597" w:rsidP="00874597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sz w:val="20"/>
          <w:szCs w:val="20"/>
          <w:lang w:val="hy-AM"/>
        </w:rPr>
        <w:t>Թվով չորս քաղաքացիներին սեփականության իրավունքով պատկանող  տրանսպորտային միջոցների գույքահարկի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>26</w:t>
      </w:r>
      <w:r>
        <w:rPr>
          <w:rFonts w:ascii="GHEA Grapalat" w:hAnsi="GHEA Grapalat"/>
          <w:sz w:val="20"/>
          <w:szCs w:val="20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446A16" w:rsidRPr="00874597" w:rsidRDefault="00446A16">
      <w:pPr>
        <w:rPr>
          <w:lang w:val="hy-AM"/>
        </w:rPr>
      </w:pPr>
    </w:p>
    <w:sectPr w:rsidR="00446A16" w:rsidRPr="00874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4597"/>
    <w:rsid w:val="00446A16"/>
    <w:rsid w:val="0087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2026-02-02T06:03:00Z</dcterms:created>
  <dcterms:modified xsi:type="dcterms:W3CDTF">2026-02-02T06:04:00Z</dcterms:modified>
</cp:coreProperties>
</file>