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3D" w:rsidRDefault="009C0B3D" w:rsidP="009C0B3D">
      <w:pPr>
        <w:spacing w:line="240" w:lineRule="auto"/>
        <w:jc w:val="center"/>
        <w:rPr>
          <w:rFonts w:ascii="GHEA Grapalat" w:hAnsi="GHEA Grapalat" w:cs="Sylfaen"/>
          <w:b/>
          <w:lang w:val="hy-AM"/>
        </w:rPr>
      </w:pPr>
      <w:r>
        <w:rPr>
          <w:rFonts w:ascii="GHEA Grapalat" w:hAnsi="GHEA Grapalat" w:cs="Sylfaen"/>
          <w:b/>
          <w:lang w:val="hy-AM"/>
        </w:rPr>
        <w:t>Հ Ի Մ Ն Ա Վ Ո Ր Ո Ւ Մ – Տ Ե Ղ Ե Կ Ա Ն Ք</w:t>
      </w:r>
    </w:p>
    <w:p w:rsidR="009C0B3D" w:rsidRDefault="009C0B3D" w:rsidP="009C0B3D">
      <w:pPr>
        <w:spacing w:after="0" w:line="240" w:lineRule="auto"/>
        <w:jc w:val="center"/>
        <w:rPr>
          <w:rFonts w:ascii="GHEA Grapalat" w:hAnsi="GHEA Grapalat" w:cs="Sylfaen"/>
          <w:b/>
          <w:szCs w:val="18"/>
          <w:lang w:val="hy-AM"/>
        </w:rPr>
      </w:pPr>
    </w:p>
    <w:p w:rsidR="009C0B3D" w:rsidRDefault="009C0B3D" w:rsidP="009C0B3D">
      <w:pPr>
        <w:spacing w:after="0" w:line="240" w:lineRule="auto"/>
        <w:jc w:val="center"/>
        <w:rPr>
          <w:rFonts w:ascii="GHEA Grapalat" w:hAnsi="GHEA Grapalat" w:cs="Sylfaen"/>
          <w:b/>
          <w:szCs w:val="18"/>
          <w:lang w:val="hy-AM"/>
        </w:rPr>
      </w:pPr>
      <w:r>
        <w:rPr>
          <w:rFonts w:ascii="GHEA Grapalat" w:hAnsi="GHEA Grapalat" w:cs="Sylfaen"/>
          <w:b/>
          <w:szCs w:val="18"/>
          <w:lang w:val="hy-AM"/>
        </w:rPr>
        <w:t>ՀԱՅԱՍՏԱՆԻ ՀԱՆՐԱՊԵՏՈՒԹՅԱՆ ՇԻՐԱԿԻ ՄԱՐԶԻ ԳՅՈՒՄՐԻ ՀԱՄԱՅՆՔԻ ԱՎԱԳԱՆՈՒ 2024 ԹՎԱԿԱՆԻ ՀՈՒՆՎԱՐԻ 23-Ի N 3–Ն ՈՐՈՇՄԱՆ ՄԵՋ ՓՈՓՈԽՈՒԹՅՈՒՆՆԵՐ ԿԱՏԱՐԵԼՈՒ ՄԱՍԻՆ</w:t>
      </w:r>
    </w:p>
    <w:p w:rsidR="009C0B3D" w:rsidRDefault="009C0B3D" w:rsidP="009C0B3D">
      <w:pPr>
        <w:spacing w:line="240" w:lineRule="auto"/>
        <w:rPr>
          <w:rFonts w:ascii="GHEA Grapalat" w:hAnsi="GHEA Grapalat"/>
          <w:sz w:val="18"/>
          <w:lang w:val="hy-AM"/>
        </w:rPr>
      </w:pPr>
      <w:r>
        <w:rPr>
          <w:rFonts w:ascii="GHEA Grapalat" w:hAnsi="GHEA Grapalat"/>
          <w:sz w:val="18"/>
          <w:lang w:val="hy-AM"/>
        </w:rPr>
        <w:t xml:space="preserve">                                      </w:t>
      </w:r>
      <w:r>
        <w:rPr>
          <w:rFonts w:ascii="GHEA Grapalat" w:hAnsi="GHEA Grapalat" w:cs="Sylfaen"/>
          <w:b/>
          <w:szCs w:val="18"/>
          <w:lang w:val="hy-AM"/>
        </w:rPr>
        <w:t xml:space="preserve"> ՈՐՈՇՄԱՆ ԸՆԴՈՒՆՄԱՆ ԱՆՀՐԱԺԵՇՏՈՒԹՅԱՆ</w:t>
      </w:r>
    </w:p>
    <w:p w:rsidR="009C0B3D" w:rsidRDefault="009C0B3D" w:rsidP="009C0B3D">
      <w:pPr>
        <w:spacing w:after="0" w:line="240" w:lineRule="auto"/>
        <w:ind w:left="708" w:firstLine="1"/>
        <w:jc w:val="both"/>
        <w:rPr>
          <w:rFonts w:ascii="GHEA Grapalat" w:hAnsi="GHEA Grapalat" w:cs="Sylfaen"/>
          <w:b/>
          <w:szCs w:val="18"/>
          <w:lang w:val="hy-AM"/>
        </w:rPr>
      </w:pPr>
    </w:p>
    <w:p w:rsidR="009C0B3D" w:rsidRDefault="009C0B3D" w:rsidP="009C0B3D">
      <w:pPr>
        <w:spacing w:line="240" w:lineRule="auto"/>
        <w:ind w:right="425"/>
        <w:jc w:val="both"/>
        <w:rPr>
          <w:rFonts w:ascii="GHEA Grapalat" w:hAnsi="GHEA Grapalat" w:cs="Sylfaen"/>
          <w:lang w:val="hy-AM"/>
        </w:rPr>
      </w:pPr>
      <w:r>
        <w:rPr>
          <w:rFonts w:ascii="GHEA Grapalat" w:hAnsi="GHEA Grapalat" w:cs="Sylfaen"/>
          <w:sz w:val="20"/>
          <w:szCs w:val="20"/>
          <w:lang w:val="hy-AM"/>
        </w:rPr>
        <w:t xml:space="preserve">       «Հայաստանի Հանրապետության Շիրակի մարզի </w:t>
      </w:r>
      <w:r>
        <w:rPr>
          <w:rFonts w:ascii="GHEA Grapalat" w:hAnsi="GHEA Grapalat" w:cs="Sylfaen"/>
          <w:lang w:val="hy-AM"/>
        </w:rPr>
        <w:t>Գյումրի համայնքի ավագանու 2024 թվականի հունվարի 23-ի N 3 –Ն որոշման</w:t>
      </w:r>
      <w:r>
        <w:rPr>
          <w:rFonts w:ascii="GHEA Grapalat" w:hAnsi="GHEA Grapalat" w:cs="Sylfaen"/>
          <w:sz w:val="20"/>
          <w:szCs w:val="20"/>
          <w:lang w:val="hy-AM"/>
        </w:rPr>
        <w:t xml:space="preserve">  մեջ փոփոխություններ կատարելու մասին» որոշման ընդունմամբ Հայաստանի Հանրապետության Շիրակի մարզի Գյումրի համայնքի 2024 թվականի բյուջեի եկամուտներն ու ծախսերը ավելանալու են  համապատասխանաբար  92 866 000  (իննսուներկու  միլիոն ութ հարյուր վաթսունվեց  հազար)  ՀՀ դրամով Հայաստանի Հանրապետության Շիրակի մարզի Գյումրի համայնքի թվով 10 մանկապարտեզների վերանորոգման /«Գոհար» մանկապարտեզ/  և 10 ավտոբուսների  ձեռք բերման համար :</w:t>
      </w:r>
    </w:p>
    <w:p w:rsidR="009C0B3D" w:rsidRDefault="009C0B3D" w:rsidP="009C0B3D">
      <w:pPr>
        <w:spacing w:line="240" w:lineRule="auto"/>
        <w:ind w:right="425"/>
        <w:jc w:val="both"/>
        <w:rPr>
          <w:rFonts w:ascii="GHEA Grapalat" w:hAnsi="GHEA Grapalat" w:cs="Sylfaen"/>
          <w:sz w:val="20"/>
          <w:szCs w:val="20"/>
          <w:lang w:val="hy-AM"/>
        </w:rPr>
      </w:pPr>
    </w:p>
    <w:tbl>
      <w:tblPr>
        <w:tblW w:w="7654" w:type="dxa"/>
        <w:jc w:val="center"/>
        <w:tblInd w:w="-1199" w:type="dxa"/>
        <w:tblLook w:val="04A0"/>
      </w:tblPr>
      <w:tblGrid>
        <w:gridCol w:w="992"/>
        <w:gridCol w:w="4961"/>
        <w:gridCol w:w="1701"/>
      </w:tblGrid>
      <w:tr w:rsidR="009C0B3D" w:rsidTr="009C0B3D">
        <w:trPr>
          <w:trHeight w:val="325"/>
          <w:jc w:val="center"/>
        </w:trPr>
        <w:tc>
          <w:tcPr>
            <w:tcW w:w="7654" w:type="dxa"/>
            <w:gridSpan w:val="3"/>
            <w:tcBorders>
              <w:top w:val="single" w:sz="8" w:space="0" w:color="auto"/>
              <w:left w:val="single" w:sz="8" w:space="0" w:color="auto"/>
              <w:bottom w:val="single" w:sz="8" w:space="0" w:color="auto"/>
              <w:right w:val="single" w:sz="8" w:space="0" w:color="000000"/>
            </w:tcBorders>
            <w:noWrap/>
            <w:vAlign w:val="center"/>
            <w:hideMark/>
          </w:tcPr>
          <w:p w:rsidR="009C0B3D" w:rsidRDefault="009C0B3D">
            <w:pPr>
              <w:spacing w:after="0" w:line="240" w:lineRule="auto"/>
              <w:ind w:left="-243"/>
              <w:jc w:val="center"/>
              <w:rPr>
                <w:rFonts w:ascii="GHEA Grapalat" w:eastAsia="Times New Roman" w:hAnsi="GHEA Grapalat" w:cs="Times New Roman"/>
                <w:b/>
                <w:bCs/>
                <w:color w:val="000000"/>
                <w:sz w:val="20"/>
                <w:szCs w:val="20"/>
                <w:lang w:val="en-US"/>
              </w:rPr>
            </w:pPr>
            <w:r>
              <w:rPr>
                <w:rFonts w:ascii="GHEA Grapalat" w:eastAsia="Times New Roman" w:hAnsi="GHEA Grapalat" w:cs="Times New Roman"/>
                <w:b/>
                <w:bCs/>
                <w:color w:val="000000"/>
                <w:sz w:val="20"/>
                <w:szCs w:val="20"/>
                <w:lang w:val="en-US"/>
              </w:rPr>
              <w:t>Բ</w:t>
            </w:r>
            <w:r>
              <w:rPr>
                <w:rFonts w:ascii="GHEA Grapalat" w:eastAsia="Times New Roman" w:hAnsi="GHEA Grapalat" w:cs="Times New Roman"/>
                <w:b/>
                <w:bCs/>
                <w:color w:val="000000"/>
                <w:sz w:val="20"/>
                <w:szCs w:val="20"/>
                <w:lang w:val="hy-AM"/>
              </w:rPr>
              <w:t xml:space="preserve">յուջեի </w:t>
            </w:r>
            <w:proofErr w:type="spellStart"/>
            <w:r>
              <w:rPr>
                <w:rFonts w:ascii="GHEA Grapalat" w:eastAsia="Times New Roman" w:hAnsi="GHEA Grapalat" w:cs="Times New Roman"/>
                <w:b/>
                <w:bCs/>
                <w:color w:val="000000"/>
                <w:sz w:val="20"/>
                <w:szCs w:val="20"/>
                <w:lang w:val="en-US"/>
              </w:rPr>
              <w:t>եկամուտներ</w:t>
            </w:r>
            <w:proofErr w:type="spellEnd"/>
          </w:p>
        </w:tc>
      </w:tr>
      <w:tr w:rsidR="009C0B3D" w:rsidTr="009C0B3D">
        <w:trPr>
          <w:trHeight w:val="641"/>
          <w:jc w:val="center"/>
        </w:trPr>
        <w:tc>
          <w:tcPr>
            <w:tcW w:w="992" w:type="dxa"/>
            <w:tcBorders>
              <w:top w:val="nil"/>
              <w:left w:val="single" w:sz="8" w:space="0" w:color="auto"/>
              <w:bottom w:val="single" w:sz="8" w:space="0" w:color="auto"/>
              <w:right w:val="single" w:sz="8" w:space="0" w:color="auto"/>
            </w:tcBorders>
            <w:vAlign w:val="center"/>
            <w:hideMark/>
          </w:tcPr>
          <w:p w:rsidR="009C0B3D" w:rsidRDefault="009C0B3D">
            <w:pPr>
              <w:jc w:val="center"/>
              <w:rPr>
                <w:rFonts w:ascii="GHEA Grapalat" w:hAnsi="GHEA Grapalat"/>
                <w:sz w:val="20"/>
                <w:szCs w:val="20"/>
                <w:lang w:eastAsia="en-US"/>
              </w:rPr>
            </w:pPr>
            <w:r>
              <w:rPr>
                <w:rFonts w:ascii="GHEA Grapalat" w:hAnsi="GHEA Grapalat"/>
                <w:sz w:val="20"/>
                <w:szCs w:val="20"/>
              </w:rPr>
              <w:t>Տողի NN</w:t>
            </w:r>
          </w:p>
        </w:tc>
        <w:tc>
          <w:tcPr>
            <w:tcW w:w="4961" w:type="dxa"/>
            <w:tcBorders>
              <w:top w:val="single" w:sz="8" w:space="0" w:color="auto"/>
              <w:left w:val="nil"/>
              <w:bottom w:val="single" w:sz="8" w:space="0" w:color="auto"/>
              <w:right w:val="single" w:sz="8" w:space="0" w:color="000000"/>
            </w:tcBorders>
            <w:vAlign w:val="center"/>
            <w:hideMark/>
          </w:tcPr>
          <w:p w:rsidR="009C0B3D" w:rsidRDefault="009C0B3D">
            <w:pPr>
              <w:jc w:val="center"/>
              <w:rPr>
                <w:rFonts w:ascii="GHEA Grapalat" w:hAnsi="GHEA Grapalat"/>
                <w:sz w:val="20"/>
                <w:szCs w:val="20"/>
                <w:lang w:eastAsia="en-US"/>
              </w:rPr>
            </w:pPr>
            <w:r>
              <w:rPr>
                <w:rFonts w:ascii="GHEA Grapalat" w:hAnsi="GHEA Grapalat"/>
                <w:sz w:val="20"/>
                <w:szCs w:val="20"/>
              </w:rPr>
              <w:t>Եկամտատեսակ</w:t>
            </w:r>
          </w:p>
        </w:tc>
        <w:tc>
          <w:tcPr>
            <w:tcW w:w="1701" w:type="dxa"/>
            <w:tcBorders>
              <w:top w:val="nil"/>
              <w:left w:val="nil"/>
              <w:bottom w:val="single" w:sz="8" w:space="0" w:color="auto"/>
              <w:right w:val="single" w:sz="8" w:space="0" w:color="auto"/>
            </w:tcBorders>
            <w:vAlign w:val="center"/>
            <w:hideMark/>
          </w:tcPr>
          <w:p w:rsidR="009C0B3D" w:rsidRDefault="009C0B3D">
            <w:pPr>
              <w:rPr>
                <w:rFonts w:ascii="GHEA Grapalat" w:hAnsi="GHEA Grapalat"/>
                <w:lang w:eastAsia="en-US"/>
              </w:rPr>
            </w:pPr>
            <w:r>
              <w:rPr>
                <w:rFonts w:ascii="GHEA Grapalat" w:hAnsi="GHEA Grapalat" w:cs="Sylfaen"/>
                <w:lang w:val="hy-AM"/>
              </w:rPr>
              <w:t>տարեկան</w:t>
            </w:r>
          </w:p>
        </w:tc>
      </w:tr>
      <w:tr w:rsidR="009C0B3D" w:rsidTr="009C0B3D">
        <w:trPr>
          <w:trHeight w:val="1177"/>
          <w:jc w:val="center"/>
        </w:trPr>
        <w:tc>
          <w:tcPr>
            <w:tcW w:w="992" w:type="dxa"/>
            <w:tcBorders>
              <w:top w:val="nil"/>
              <w:left w:val="single" w:sz="8" w:space="0" w:color="auto"/>
              <w:bottom w:val="nil"/>
              <w:right w:val="single" w:sz="8" w:space="0" w:color="auto"/>
            </w:tcBorders>
            <w:vAlign w:val="center"/>
            <w:hideMark/>
          </w:tcPr>
          <w:p w:rsidR="009C0B3D" w:rsidRDefault="009C0B3D">
            <w:pPr>
              <w:jc w:val="center"/>
              <w:rPr>
                <w:rFonts w:ascii="GHEA Grapalat" w:hAnsi="GHEA Grapalat"/>
                <w:sz w:val="20"/>
                <w:szCs w:val="20"/>
                <w:lang w:val="hy-AM" w:eastAsia="en-US"/>
              </w:rPr>
            </w:pPr>
            <w:r>
              <w:rPr>
                <w:rFonts w:ascii="GHEA Grapalat" w:hAnsi="GHEA Grapalat"/>
                <w:sz w:val="20"/>
                <w:szCs w:val="20"/>
                <w:lang w:val="hy-AM"/>
              </w:rPr>
              <w:t>1261</w:t>
            </w:r>
          </w:p>
        </w:tc>
        <w:tc>
          <w:tcPr>
            <w:tcW w:w="4961" w:type="dxa"/>
            <w:tcBorders>
              <w:top w:val="single" w:sz="8" w:space="0" w:color="auto"/>
              <w:left w:val="nil"/>
              <w:bottom w:val="single" w:sz="8" w:space="0" w:color="auto"/>
              <w:right w:val="single" w:sz="8" w:space="0" w:color="000000"/>
            </w:tcBorders>
            <w:vAlign w:val="center"/>
            <w:hideMark/>
          </w:tcPr>
          <w:p w:rsidR="009C0B3D" w:rsidRDefault="009C0B3D">
            <w:pPr>
              <w:rPr>
                <w:rFonts w:ascii="GHEA Grapalat" w:hAnsi="GHEA Grapalat"/>
                <w:sz w:val="20"/>
                <w:szCs w:val="20"/>
                <w:lang w:val="hy-AM" w:eastAsia="en-US"/>
              </w:rPr>
            </w:pPr>
            <w:r>
              <w:rPr>
                <w:rFonts w:ascii="GHEA Grapalat" w:hAnsi="GHEA Grapalat"/>
                <w:sz w:val="20"/>
                <w:szCs w:val="20"/>
                <w:lang w:val="hy-AM"/>
              </w:rPr>
              <w:t>Պետական բյուջեից կապիտալ ծախսերի ֆինանսավորման նպատակային հատկացումներ (սուբվենցիաներ)</w:t>
            </w:r>
          </w:p>
        </w:tc>
        <w:tc>
          <w:tcPr>
            <w:tcW w:w="1701" w:type="dxa"/>
            <w:tcBorders>
              <w:top w:val="nil"/>
              <w:left w:val="nil"/>
              <w:bottom w:val="nil"/>
              <w:right w:val="single" w:sz="8"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92866,0</w:t>
            </w:r>
          </w:p>
        </w:tc>
      </w:tr>
    </w:tbl>
    <w:p w:rsidR="009C0B3D" w:rsidRDefault="009C0B3D" w:rsidP="009C0B3D">
      <w:pPr>
        <w:spacing w:line="240" w:lineRule="auto"/>
        <w:ind w:right="425"/>
        <w:rPr>
          <w:rFonts w:ascii="GHEA Grapalat" w:hAnsi="GHEA Grapalat" w:cs="Sylfaen"/>
          <w:sz w:val="20"/>
          <w:szCs w:val="20"/>
          <w:lang w:val="hy-AM" w:eastAsia="en-US"/>
        </w:rPr>
      </w:pPr>
    </w:p>
    <w:tbl>
      <w:tblPr>
        <w:tblW w:w="9128" w:type="dxa"/>
        <w:jc w:val="center"/>
        <w:tblInd w:w="-775" w:type="dxa"/>
        <w:tblLook w:val="04A0"/>
      </w:tblPr>
      <w:tblGrid>
        <w:gridCol w:w="1603"/>
        <w:gridCol w:w="4917"/>
        <w:gridCol w:w="1116"/>
        <w:gridCol w:w="1492"/>
      </w:tblGrid>
      <w:tr w:rsidR="009C0B3D" w:rsidTr="009C0B3D">
        <w:trPr>
          <w:trHeight w:val="325"/>
          <w:jc w:val="center"/>
        </w:trPr>
        <w:tc>
          <w:tcPr>
            <w:tcW w:w="9128" w:type="dxa"/>
            <w:gridSpan w:val="4"/>
            <w:tcBorders>
              <w:top w:val="single" w:sz="8" w:space="0" w:color="auto"/>
              <w:left w:val="single" w:sz="8" w:space="0" w:color="auto"/>
              <w:bottom w:val="single" w:sz="8" w:space="0" w:color="auto"/>
              <w:right w:val="single" w:sz="8" w:space="0" w:color="000000"/>
            </w:tcBorders>
            <w:noWrap/>
            <w:vAlign w:val="center"/>
            <w:hideMark/>
          </w:tcPr>
          <w:p w:rsidR="009C0B3D" w:rsidRDefault="009C0B3D">
            <w:pPr>
              <w:spacing w:after="0" w:line="240" w:lineRule="auto"/>
              <w:ind w:left="-243"/>
              <w:jc w:val="center"/>
              <w:rPr>
                <w:rFonts w:ascii="GHEA Grapalat" w:eastAsia="Times New Roman" w:hAnsi="GHEA Grapalat" w:cs="Times New Roman"/>
                <w:b/>
                <w:bCs/>
                <w:color w:val="000000"/>
                <w:sz w:val="20"/>
                <w:szCs w:val="20"/>
                <w:lang w:val="hy-AM"/>
              </w:rPr>
            </w:pPr>
            <w:r>
              <w:rPr>
                <w:rFonts w:ascii="GHEA Grapalat" w:eastAsia="Times New Roman" w:hAnsi="GHEA Grapalat" w:cs="Times New Roman"/>
                <w:b/>
                <w:bCs/>
                <w:color w:val="000000"/>
                <w:sz w:val="20"/>
                <w:szCs w:val="20"/>
                <w:lang w:val="hy-AM"/>
              </w:rPr>
              <w:t>Բյուջեի ծախսեր</w:t>
            </w:r>
          </w:p>
        </w:tc>
      </w:tr>
      <w:tr w:rsidR="009C0B3D" w:rsidTr="009C0B3D">
        <w:trPr>
          <w:trHeight w:val="1080"/>
          <w:jc w:val="center"/>
        </w:trPr>
        <w:tc>
          <w:tcPr>
            <w:tcW w:w="1603" w:type="dxa"/>
            <w:tcBorders>
              <w:top w:val="nil"/>
              <w:left w:val="single" w:sz="8" w:space="0" w:color="auto"/>
              <w:bottom w:val="single" w:sz="8" w:space="0" w:color="auto"/>
              <w:right w:val="single" w:sz="8" w:space="0" w:color="auto"/>
            </w:tcBorders>
            <w:vAlign w:val="center"/>
            <w:hideMark/>
          </w:tcPr>
          <w:p w:rsidR="009C0B3D" w:rsidRDefault="009C0B3D">
            <w:pPr>
              <w:spacing w:after="0" w:line="240" w:lineRule="auto"/>
              <w:ind w:left="34"/>
              <w:jc w:val="both"/>
              <w:rPr>
                <w:rFonts w:ascii="GHEA Grapalat" w:eastAsia="Times New Roman" w:hAnsi="GHEA Grapalat" w:cs="Times New Roman"/>
                <w:color w:val="000000"/>
                <w:sz w:val="20"/>
                <w:szCs w:val="20"/>
                <w:lang w:val="hy-AM"/>
              </w:rPr>
            </w:pPr>
            <w:r>
              <w:rPr>
                <w:rFonts w:ascii="GHEA Grapalat" w:eastAsia="Times New Roman" w:hAnsi="GHEA Grapalat" w:cs="Sylfaen"/>
                <w:color w:val="000000"/>
                <w:sz w:val="20"/>
                <w:szCs w:val="20"/>
                <w:lang w:val="hy-AM"/>
              </w:rPr>
              <w:t>գործառական դասակարգում</w:t>
            </w:r>
          </w:p>
        </w:tc>
        <w:tc>
          <w:tcPr>
            <w:tcW w:w="4917" w:type="dxa"/>
            <w:tcBorders>
              <w:top w:val="single" w:sz="8" w:space="0" w:color="auto"/>
              <w:left w:val="nil"/>
              <w:bottom w:val="single" w:sz="8" w:space="0" w:color="auto"/>
              <w:right w:val="single" w:sz="8" w:space="0" w:color="000000"/>
            </w:tcBorders>
            <w:vAlign w:val="center"/>
            <w:hideMark/>
          </w:tcPr>
          <w:p w:rsidR="009C0B3D" w:rsidRDefault="009C0B3D">
            <w:pPr>
              <w:spacing w:after="0" w:line="240" w:lineRule="auto"/>
              <w:ind w:left="175" w:right="-108"/>
              <w:jc w:val="both"/>
              <w:rPr>
                <w:rFonts w:ascii="GHEA Grapalat" w:eastAsia="Times New Roman" w:hAnsi="GHEA Grapalat" w:cs="Times New Roman"/>
                <w:color w:val="000000"/>
                <w:sz w:val="20"/>
                <w:szCs w:val="20"/>
                <w:lang w:val="hy-AM"/>
              </w:rPr>
            </w:pPr>
            <w:r>
              <w:rPr>
                <w:rFonts w:ascii="GHEA Grapalat" w:eastAsia="Times New Roman" w:hAnsi="GHEA Grapalat" w:cs="Sylfaen"/>
                <w:color w:val="000000"/>
                <w:sz w:val="20"/>
                <w:szCs w:val="20"/>
                <w:lang w:val="hy-AM"/>
              </w:rPr>
              <w:t>տնտեսագիտական դասակարգման հոդվածներ</w:t>
            </w:r>
          </w:p>
        </w:tc>
        <w:tc>
          <w:tcPr>
            <w:tcW w:w="1017" w:type="dxa"/>
            <w:tcBorders>
              <w:top w:val="nil"/>
              <w:left w:val="nil"/>
              <w:bottom w:val="single" w:sz="8" w:space="0" w:color="auto"/>
              <w:right w:val="single" w:sz="8"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lang w:val="hy-AM"/>
              </w:rPr>
            </w:pPr>
            <w:r>
              <w:rPr>
                <w:rFonts w:ascii="GHEA Grapalat" w:eastAsia="Times New Roman" w:hAnsi="GHEA Grapalat" w:cs="Sylfaen"/>
                <w:color w:val="000000"/>
                <w:sz w:val="20"/>
                <w:szCs w:val="20"/>
                <w:lang w:val="hy-AM"/>
              </w:rPr>
              <w:t>հոդված</w:t>
            </w:r>
          </w:p>
        </w:tc>
        <w:tc>
          <w:tcPr>
            <w:tcW w:w="1591" w:type="dxa"/>
            <w:tcBorders>
              <w:top w:val="nil"/>
              <w:left w:val="nil"/>
              <w:bottom w:val="single" w:sz="8" w:space="0" w:color="auto"/>
              <w:right w:val="single" w:sz="8"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lang w:val="hy-AM"/>
              </w:rPr>
            </w:pPr>
            <w:r>
              <w:rPr>
                <w:rFonts w:ascii="GHEA Grapalat" w:eastAsia="Times New Roman" w:hAnsi="GHEA Grapalat" w:cs="Sylfaen"/>
                <w:color w:val="000000"/>
                <w:sz w:val="20"/>
                <w:szCs w:val="20"/>
                <w:lang w:val="hy-AM"/>
              </w:rPr>
              <w:t>տարեկան</w:t>
            </w:r>
          </w:p>
        </w:tc>
      </w:tr>
      <w:tr w:rsidR="009C0B3D" w:rsidTr="009C0B3D">
        <w:trPr>
          <w:trHeight w:val="532"/>
          <w:jc w:val="center"/>
        </w:trPr>
        <w:tc>
          <w:tcPr>
            <w:tcW w:w="1603" w:type="dxa"/>
            <w:tcBorders>
              <w:top w:val="nil"/>
              <w:left w:val="single" w:sz="8" w:space="0" w:color="auto"/>
              <w:bottom w:val="nil"/>
              <w:right w:val="single" w:sz="8"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lang w:val="hy-AM"/>
              </w:rPr>
            </w:pPr>
            <w:r>
              <w:rPr>
                <w:rFonts w:ascii="GHEA Grapalat" w:eastAsia="Times New Roman" w:hAnsi="GHEA Grapalat" w:cs="Times New Roman"/>
                <w:color w:val="000000"/>
                <w:sz w:val="20"/>
                <w:szCs w:val="20"/>
                <w:lang w:val="hy-AM"/>
              </w:rPr>
              <w:t>6/6/1</w:t>
            </w:r>
          </w:p>
        </w:tc>
        <w:tc>
          <w:tcPr>
            <w:tcW w:w="4917" w:type="dxa"/>
            <w:tcBorders>
              <w:top w:val="single" w:sz="8" w:space="0" w:color="auto"/>
              <w:left w:val="nil"/>
              <w:bottom w:val="single" w:sz="8" w:space="0" w:color="auto"/>
              <w:right w:val="single" w:sz="8" w:space="0" w:color="000000"/>
            </w:tcBorders>
            <w:vAlign w:val="center"/>
            <w:hideMark/>
          </w:tcPr>
          <w:p w:rsidR="009C0B3D" w:rsidRDefault="009C0B3D">
            <w:pPr>
              <w:jc w:val="both"/>
              <w:rPr>
                <w:rFonts w:ascii="GHEA Grapalat" w:hAnsi="GHEA Grapalat"/>
                <w:sz w:val="20"/>
                <w:szCs w:val="20"/>
                <w:lang w:val="hy-AM" w:eastAsia="en-US"/>
              </w:rPr>
            </w:pPr>
            <w:r>
              <w:rPr>
                <w:rFonts w:ascii="GHEA Grapalat" w:hAnsi="GHEA Grapalat"/>
                <w:sz w:val="20"/>
                <w:szCs w:val="20"/>
                <w:lang w:val="hy-AM"/>
              </w:rPr>
              <w:t>Շենքերի և շինությունների  կապիտալ վերանորոգում</w:t>
            </w:r>
          </w:p>
        </w:tc>
        <w:tc>
          <w:tcPr>
            <w:tcW w:w="1017" w:type="dxa"/>
            <w:tcBorders>
              <w:top w:val="nil"/>
              <w:left w:val="nil"/>
              <w:bottom w:val="nil"/>
              <w:right w:val="single" w:sz="8"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lang w:val="hy-AM"/>
              </w:rPr>
            </w:pPr>
            <w:r>
              <w:rPr>
                <w:rFonts w:ascii="GHEA Grapalat" w:eastAsia="Times New Roman" w:hAnsi="GHEA Grapalat" w:cs="Times New Roman"/>
                <w:color w:val="000000"/>
                <w:sz w:val="20"/>
                <w:szCs w:val="20"/>
                <w:lang w:val="hy-AM"/>
              </w:rPr>
              <w:t>5113</w:t>
            </w:r>
          </w:p>
        </w:tc>
        <w:tc>
          <w:tcPr>
            <w:tcW w:w="1591" w:type="dxa"/>
            <w:tcBorders>
              <w:top w:val="nil"/>
              <w:left w:val="nil"/>
              <w:bottom w:val="nil"/>
              <w:right w:val="single" w:sz="8" w:space="0" w:color="auto"/>
            </w:tcBorders>
            <w:vAlign w:val="center"/>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rPr>
              <w:t>25200,0</w:t>
            </w:r>
          </w:p>
        </w:tc>
      </w:tr>
      <w:tr w:rsidR="009C0B3D" w:rsidTr="009C0B3D">
        <w:trPr>
          <w:trHeight w:val="532"/>
          <w:jc w:val="center"/>
        </w:trPr>
        <w:tc>
          <w:tcPr>
            <w:tcW w:w="1603" w:type="dxa"/>
            <w:tcBorders>
              <w:top w:val="nil"/>
              <w:left w:val="single" w:sz="8" w:space="0" w:color="auto"/>
              <w:bottom w:val="nil"/>
              <w:right w:val="single" w:sz="8"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lang w:val="hy-AM"/>
              </w:rPr>
            </w:pPr>
            <w:r>
              <w:rPr>
                <w:rFonts w:ascii="GHEA Grapalat" w:eastAsia="Times New Roman" w:hAnsi="GHEA Grapalat" w:cs="Times New Roman"/>
                <w:color w:val="000000"/>
                <w:sz w:val="20"/>
                <w:szCs w:val="20"/>
                <w:lang w:val="hy-AM"/>
              </w:rPr>
              <w:t>6/6/1</w:t>
            </w:r>
          </w:p>
        </w:tc>
        <w:tc>
          <w:tcPr>
            <w:tcW w:w="4917" w:type="dxa"/>
            <w:tcBorders>
              <w:top w:val="single" w:sz="8" w:space="0" w:color="auto"/>
              <w:left w:val="nil"/>
              <w:bottom w:val="single" w:sz="8" w:space="0" w:color="auto"/>
              <w:right w:val="single" w:sz="8" w:space="0" w:color="000000"/>
            </w:tcBorders>
            <w:vAlign w:val="center"/>
            <w:hideMark/>
          </w:tcPr>
          <w:p w:rsidR="009C0B3D" w:rsidRDefault="009C0B3D">
            <w:pPr>
              <w:jc w:val="both"/>
              <w:rPr>
                <w:rFonts w:ascii="GHEA Grapalat" w:hAnsi="GHEA Grapalat"/>
                <w:sz w:val="20"/>
                <w:szCs w:val="20"/>
                <w:lang w:val="hy-AM" w:eastAsia="en-US"/>
              </w:rPr>
            </w:pPr>
            <w:r>
              <w:rPr>
                <w:rFonts w:ascii="GHEA Grapalat" w:hAnsi="GHEA Grapalat"/>
                <w:sz w:val="20"/>
                <w:szCs w:val="20"/>
              </w:rPr>
              <w:t>Նախագծահետազոտական ծախսեր</w:t>
            </w:r>
          </w:p>
        </w:tc>
        <w:tc>
          <w:tcPr>
            <w:tcW w:w="1017" w:type="dxa"/>
            <w:tcBorders>
              <w:top w:val="nil"/>
              <w:left w:val="nil"/>
              <w:bottom w:val="nil"/>
              <w:right w:val="single" w:sz="8"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lang w:val="hy-AM"/>
              </w:rPr>
            </w:pPr>
            <w:r>
              <w:rPr>
                <w:rFonts w:ascii="GHEA Grapalat" w:eastAsia="Times New Roman" w:hAnsi="GHEA Grapalat" w:cs="Times New Roman"/>
                <w:color w:val="000000"/>
                <w:sz w:val="20"/>
                <w:szCs w:val="20"/>
                <w:lang w:val="hy-AM"/>
              </w:rPr>
              <w:t>5134</w:t>
            </w:r>
          </w:p>
        </w:tc>
        <w:tc>
          <w:tcPr>
            <w:tcW w:w="1591" w:type="dxa"/>
            <w:tcBorders>
              <w:top w:val="nil"/>
              <w:left w:val="nil"/>
              <w:bottom w:val="nil"/>
              <w:right w:val="single" w:sz="8" w:space="0" w:color="auto"/>
            </w:tcBorders>
            <w:vAlign w:val="center"/>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rPr>
              <w:t>616,0</w:t>
            </w:r>
          </w:p>
        </w:tc>
      </w:tr>
      <w:tr w:rsidR="009C0B3D" w:rsidTr="009C0B3D">
        <w:trPr>
          <w:trHeight w:val="532"/>
          <w:jc w:val="center"/>
        </w:trPr>
        <w:tc>
          <w:tcPr>
            <w:tcW w:w="1603" w:type="dxa"/>
            <w:tcBorders>
              <w:top w:val="nil"/>
              <w:left w:val="single" w:sz="8" w:space="0" w:color="auto"/>
              <w:bottom w:val="nil"/>
              <w:right w:val="single" w:sz="8"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4/5/1</w:t>
            </w:r>
          </w:p>
        </w:tc>
        <w:tc>
          <w:tcPr>
            <w:tcW w:w="4917" w:type="dxa"/>
            <w:tcBorders>
              <w:top w:val="single" w:sz="8" w:space="0" w:color="auto"/>
              <w:left w:val="nil"/>
              <w:bottom w:val="single" w:sz="8" w:space="0" w:color="auto"/>
              <w:right w:val="single" w:sz="8" w:space="0" w:color="000000"/>
            </w:tcBorders>
            <w:vAlign w:val="center"/>
            <w:hideMark/>
          </w:tcPr>
          <w:p w:rsidR="009C0B3D" w:rsidRDefault="009C0B3D">
            <w:pPr>
              <w:jc w:val="both"/>
              <w:rPr>
                <w:rFonts w:ascii="GHEA Grapalat" w:hAnsi="GHEA Grapalat"/>
                <w:sz w:val="20"/>
                <w:szCs w:val="20"/>
                <w:lang w:eastAsia="en-US"/>
              </w:rPr>
            </w:pPr>
            <w:r>
              <w:rPr>
                <w:rFonts w:ascii="GHEA Grapalat" w:hAnsi="GHEA Grapalat"/>
                <w:sz w:val="20"/>
                <w:szCs w:val="20"/>
              </w:rPr>
              <w:t>Տրանսպորտային  սարքավորումներ</w:t>
            </w:r>
          </w:p>
        </w:tc>
        <w:tc>
          <w:tcPr>
            <w:tcW w:w="1017" w:type="dxa"/>
            <w:tcBorders>
              <w:top w:val="nil"/>
              <w:left w:val="nil"/>
              <w:bottom w:val="nil"/>
              <w:right w:val="single" w:sz="8"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5121</w:t>
            </w:r>
          </w:p>
        </w:tc>
        <w:tc>
          <w:tcPr>
            <w:tcW w:w="1591" w:type="dxa"/>
            <w:tcBorders>
              <w:top w:val="nil"/>
              <w:left w:val="nil"/>
              <w:bottom w:val="nil"/>
              <w:right w:val="single" w:sz="8" w:space="0" w:color="auto"/>
            </w:tcBorders>
            <w:vAlign w:val="center"/>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rPr>
              <w:t>67050,0</w:t>
            </w:r>
          </w:p>
        </w:tc>
      </w:tr>
    </w:tbl>
    <w:p w:rsidR="009C0B3D" w:rsidRDefault="009C0B3D" w:rsidP="009C0B3D">
      <w:pPr>
        <w:spacing w:line="240" w:lineRule="auto"/>
        <w:ind w:right="-284"/>
        <w:jc w:val="both"/>
        <w:rPr>
          <w:rFonts w:ascii="GHEA Grapalat" w:hAnsi="GHEA Grapalat" w:cs="Sylfaen"/>
          <w:sz w:val="20"/>
          <w:szCs w:val="20"/>
          <w:lang w:eastAsia="en-US"/>
        </w:rPr>
      </w:pPr>
    </w:p>
    <w:p w:rsidR="009C0B3D" w:rsidRDefault="009C0B3D" w:rsidP="009C0B3D">
      <w:pPr>
        <w:spacing w:line="240" w:lineRule="auto"/>
        <w:ind w:left="1134" w:right="992"/>
        <w:jc w:val="center"/>
        <w:rPr>
          <w:rFonts w:ascii="GHEA Grapalat" w:hAnsi="GHEA Grapalat" w:cs="Sylfaen"/>
          <w:b/>
          <w:szCs w:val="18"/>
        </w:rPr>
      </w:pPr>
    </w:p>
    <w:p w:rsidR="009C0B3D" w:rsidRDefault="009C0B3D" w:rsidP="009C0B3D">
      <w:pPr>
        <w:spacing w:line="240" w:lineRule="auto"/>
        <w:ind w:right="-284" w:firstLine="284"/>
        <w:jc w:val="both"/>
        <w:rPr>
          <w:rFonts w:ascii="GHEA Grapalat" w:hAnsi="GHEA Grapalat" w:cs="Sylfaen"/>
          <w:sz w:val="20"/>
          <w:szCs w:val="20"/>
          <w:lang w:val="hy-AM"/>
        </w:rPr>
      </w:pPr>
      <w:r>
        <w:rPr>
          <w:rFonts w:ascii="GHEA Grapalat" w:hAnsi="GHEA Grapalat" w:cs="Sylfaen"/>
          <w:sz w:val="20"/>
          <w:szCs w:val="20"/>
          <w:lang w:val="hy-AM"/>
        </w:rPr>
        <w:t xml:space="preserve">Որոշման ընդունումը պայմանավորված է «Հայաստանի Հանրապետության բյուջետային համակարգի մասին»  օրենքի 33-րդ հոդվածի 4-րդ մասի դրույթների կատարման անհրաժեշտությամբ:                                                             </w:t>
      </w:r>
    </w:p>
    <w:p w:rsidR="009C0B3D" w:rsidRDefault="009C0B3D" w:rsidP="009C0B3D">
      <w:pPr>
        <w:spacing w:line="240" w:lineRule="auto"/>
        <w:ind w:right="-284" w:firstLine="284"/>
        <w:jc w:val="both"/>
        <w:rPr>
          <w:rFonts w:ascii="GHEA Grapalat" w:hAnsi="GHEA Grapalat" w:cs="Sylfaen"/>
          <w:sz w:val="20"/>
          <w:szCs w:val="20"/>
          <w:lang w:val="hy-AM"/>
        </w:rPr>
      </w:pPr>
    </w:p>
    <w:p w:rsidR="009C0B3D" w:rsidRDefault="009C0B3D" w:rsidP="009C0B3D">
      <w:pPr>
        <w:spacing w:line="240" w:lineRule="auto"/>
        <w:ind w:right="-284" w:firstLine="284"/>
        <w:jc w:val="both"/>
        <w:rPr>
          <w:rFonts w:ascii="GHEA Grapalat" w:hAnsi="GHEA Grapalat" w:cs="Sylfaen"/>
          <w:sz w:val="20"/>
          <w:szCs w:val="20"/>
          <w:lang w:val="hy-AM"/>
        </w:rPr>
      </w:pPr>
      <w:r>
        <w:rPr>
          <w:rFonts w:ascii="GHEA Grapalat" w:hAnsi="GHEA Grapalat" w:cs="Sylfaen"/>
          <w:sz w:val="20"/>
          <w:szCs w:val="20"/>
          <w:lang w:val="hy-AM"/>
        </w:rPr>
        <w:lastRenderedPageBreak/>
        <w:t>Համայնքի բյուջեի  փոփոխությունները ըստ գործառական և տնտեսագիտական հոդվածների հետևյալն   են՝</w:t>
      </w:r>
    </w:p>
    <w:tbl>
      <w:tblPr>
        <w:tblW w:w="928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3780"/>
        <w:gridCol w:w="1350"/>
        <w:gridCol w:w="1440"/>
        <w:gridCol w:w="1440"/>
      </w:tblGrid>
      <w:tr w:rsidR="009C0B3D" w:rsidTr="009C0B3D">
        <w:trPr>
          <w:trHeight w:val="1080"/>
        </w:trPr>
        <w:tc>
          <w:tcPr>
            <w:tcW w:w="1274" w:type="dxa"/>
            <w:tcBorders>
              <w:top w:val="single" w:sz="4" w:space="0" w:color="auto"/>
              <w:left w:val="single" w:sz="4" w:space="0" w:color="auto"/>
              <w:bottom w:val="single" w:sz="4" w:space="0" w:color="auto"/>
              <w:right w:val="single" w:sz="4" w:space="0" w:color="auto"/>
            </w:tcBorders>
            <w:vAlign w:val="bottom"/>
            <w:hideMark/>
          </w:tcPr>
          <w:p w:rsidR="009C0B3D" w:rsidRDefault="009C0B3D">
            <w:pPr>
              <w:spacing w:after="0" w:line="240" w:lineRule="auto"/>
              <w:jc w:val="both"/>
              <w:rPr>
                <w:rFonts w:ascii="GHEA Grapalat" w:eastAsia="Times New Roman" w:hAnsi="GHEA Grapalat" w:cs="Times New Roman"/>
                <w:color w:val="000000"/>
                <w:sz w:val="20"/>
                <w:szCs w:val="20"/>
                <w:lang w:val="en-US" w:eastAsia="en-US"/>
              </w:rPr>
            </w:pPr>
            <w:r>
              <w:rPr>
                <w:rFonts w:ascii="GHEA Grapalat" w:eastAsia="Times New Roman" w:hAnsi="GHEA Grapalat" w:cs="Times New Roman"/>
                <w:color w:val="000000"/>
                <w:sz w:val="20"/>
                <w:szCs w:val="20"/>
                <w:lang w:val="hy-AM"/>
              </w:rPr>
              <w:t>գործառական դասակարգում</w:t>
            </w:r>
          </w:p>
        </w:tc>
        <w:tc>
          <w:tcPr>
            <w:tcW w:w="378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spacing w:after="0" w:line="240" w:lineRule="auto"/>
              <w:jc w:val="both"/>
              <w:rPr>
                <w:rFonts w:ascii="GHEA Grapalat" w:eastAsia="Times New Roman" w:hAnsi="GHEA Grapalat" w:cs="Times New Roman"/>
                <w:color w:val="000000"/>
                <w:sz w:val="20"/>
                <w:szCs w:val="20"/>
                <w:lang w:val="en-US" w:eastAsia="en-US"/>
              </w:rPr>
            </w:pPr>
            <w:r>
              <w:rPr>
                <w:rFonts w:ascii="GHEA Grapalat" w:eastAsia="Times New Roman" w:hAnsi="GHEA Grapalat" w:cs="Times New Roman"/>
                <w:color w:val="000000"/>
                <w:sz w:val="20"/>
                <w:szCs w:val="20"/>
                <w:lang w:val="hy-AM"/>
              </w:rPr>
              <w:t>տնտեսագիտական դասակարգման հոդվածներ</w:t>
            </w:r>
          </w:p>
        </w:tc>
        <w:tc>
          <w:tcPr>
            <w:tcW w:w="135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spacing w:after="0" w:line="240" w:lineRule="auto"/>
              <w:jc w:val="both"/>
              <w:rPr>
                <w:rFonts w:ascii="GHEA Grapalat" w:eastAsia="Times New Roman" w:hAnsi="GHEA Grapalat" w:cs="Times New Roman"/>
                <w:color w:val="000000"/>
                <w:sz w:val="20"/>
                <w:szCs w:val="20"/>
                <w:lang w:val="en-US" w:eastAsia="en-US"/>
              </w:rPr>
            </w:pPr>
            <w:r>
              <w:rPr>
                <w:rFonts w:ascii="GHEA Grapalat" w:eastAsia="Times New Roman" w:hAnsi="GHEA Grapalat" w:cs="Times New Roman"/>
                <w:color w:val="000000"/>
                <w:sz w:val="20"/>
                <w:szCs w:val="20"/>
                <w:lang w:val="hy-AM"/>
              </w:rPr>
              <w:t>հոդված</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spacing w:after="0" w:line="240" w:lineRule="auto"/>
              <w:jc w:val="both"/>
              <w:rPr>
                <w:rFonts w:ascii="GHEA Grapalat" w:eastAsia="Times New Roman" w:hAnsi="GHEA Grapalat" w:cs="Times New Roman"/>
                <w:color w:val="000000"/>
                <w:sz w:val="20"/>
                <w:szCs w:val="20"/>
                <w:lang w:val="en-US" w:eastAsia="en-US"/>
              </w:rPr>
            </w:pPr>
            <w:r>
              <w:rPr>
                <w:rFonts w:ascii="GHEA Grapalat" w:eastAsia="Times New Roman" w:hAnsi="GHEA Grapalat" w:cs="Times New Roman"/>
                <w:color w:val="000000"/>
                <w:sz w:val="20"/>
                <w:szCs w:val="20"/>
                <w:lang w:val="hy-AM"/>
              </w:rPr>
              <w:t>3-րդ եռամսյակ</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spacing w:after="0" w:line="240" w:lineRule="auto"/>
              <w:jc w:val="both"/>
              <w:rPr>
                <w:rFonts w:ascii="GHEA Grapalat" w:eastAsia="Times New Roman" w:hAnsi="GHEA Grapalat" w:cs="Times New Roman"/>
                <w:color w:val="000000"/>
                <w:sz w:val="20"/>
                <w:szCs w:val="20"/>
                <w:lang w:val="en-US" w:eastAsia="en-US"/>
              </w:rPr>
            </w:pPr>
            <w:r>
              <w:rPr>
                <w:rFonts w:ascii="GHEA Grapalat" w:eastAsia="Times New Roman" w:hAnsi="GHEA Grapalat" w:cs="Times New Roman"/>
                <w:color w:val="000000"/>
                <w:sz w:val="20"/>
                <w:szCs w:val="20"/>
                <w:lang w:val="hy-AM"/>
              </w:rPr>
              <w:t>տարեկան</w:t>
            </w:r>
          </w:p>
        </w:tc>
      </w:tr>
      <w:tr w:rsidR="009C0B3D" w:rsidTr="009C0B3D">
        <w:trPr>
          <w:trHeight w:val="1034"/>
        </w:trPr>
        <w:tc>
          <w:tcPr>
            <w:tcW w:w="1274"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1/1/1</w:t>
            </w:r>
          </w:p>
        </w:tc>
        <w:tc>
          <w:tcPr>
            <w:tcW w:w="378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jc w:val="center"/>
              <w:rPr>
                <w:rFonts w:ascii="GHEA Grapalat" w:hAnsi="GHEA Grapalat"/>
                <w:sz w:val="20"/>
                <w:szCs w:val="20"/>
                <w:lang w:eastAsia="en-US"/>
              </w:rPr>
            </w:pPr>
            <w:r>
              <w:rPr>
                <w:rFonts w:ascii="GHEA Grapalat" w:hAnsi="GHEA Grapalat"/>
                <w:sz w:val="20"/>
                <w:szCs w:val="20"/>
              </w:rPr>
              <w:t>Կոմունալ ծառայություններ</w:t>
            </w:r>
          </w:p>
        </w:tc>
        <w:tc>
          <w:tcPr>
            <w:tcW w:w="135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4213</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lang w:val="hy-AM"/>
              </w:rPr>
              <w:t>-</w:t>
            </w:r>
            <w:r>
              <w:rPr>
                <w:rFonts w:ascii="GHEA Grapalat" w:hAnsi="GHEA Grapalat"/>
                <w:color w:val="000000"/>
                <w:sz w:val="20"/>
                <w:szCs w:val="20"/>
              </w:rPr>
              <w:t>12000,0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lang w:val="hy-AM"/>
              </w:rPr>
              <w:t>-</w:t>
            </w:r>
            <w:r>
              <w:rPr>
                <w:rFonts w:ascii="GHEA Grapalat" w:hAnsi="GHEA Grapalat"/>
                <w:color w:val="000000"/>
                <w:sz w:val="20"/>
                <w:szCs w:val="20"/>
              </w:rPr>
              <w:t>12000,0</w:t>
            </w:r>
          </w:p>
        </w:tc>
      </w:tr>
      <w:tr w:rsidR="009C0B3D" w:rsidTr="009C0B3D">
        <w:trPr>
          <w:trHeight w:val="764"/>
        </w:trPr>
        <w:tc>
          <w:tcPr>
            <w:tcW w:w="1274"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1/1/1</w:t>
            </w:r>
          </w:p>
        </w:tc>
        <w:tc>
          <w:tcPr>
            <w:tcW w:w="378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jc w:val="center"/>
              <w:rPr>
                <w:rFonts w:ascii="GHEA Grapalat" w:hAnsi="GHEA Grapalat"/>
                <w:sz w:val="20"/>
                <w:szCs w:val="20"/>
                <w:lang w:eastAsia="en-US"/>
              </w:rPr>
            </w:pPr>
            <w:r>
              <w:rPr>
                <w:rFonts w:ascii="GHEA Grapalat" w:hAnsi="GHEA Grapalat"/>
                <w:sz w:val="20"/>
                <w:szCs w:val="20"/>
              </w:rPr>
              <w:t>Ընդհանուր բնույթի այլ ծառայություն</w:t>
            </w:r>
          </w:p>
        </w:tc>
        <w:tc>
          <w:tcPr>
            <w:tcW w:w="135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lang w:val="hy-AM"/>
              </w:rPr>
              <w:t>42</w:t>
            </w:r>
            <w:r>
              <w:rPr>
                <w:rFonts w:ascii="GHEA Grapalat" w:eastAsia="Times New Roman" w:hAnsi="GHEA Grapalat" w:cs="Times New Roman"/>
                <w:color w:val="000000"/>
                <w:sz w:val="20"/>
                <w:szCs w:val="20"/>
              </w:rPr>
              <w:t>39</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rPr>
              <w:t>10000,0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rPr>
              <w:t>10000,0</w:t>
            </w:r>
          </w:p>
        </w:tc>
      </w:tr>
      <w:tr w:rsidR="009C0B3D" w:rsidTr="009C0B3D">
        <w:trPr>
          <w:trHeight w:val="764"/>
        </w:trPr>
        <w:tc>
          <w:tcPr>
            <w:tcW w:w="1274"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lang w:val="hy-AM"/>
              </w:rPr>
            </w:pPr>
            <w:r>
              <w:rPr>
                <w:rFonts w:ascii="GHEA Grapalat" w:eastAsia="Times New Roman" w:hAnsi="GHEA Grapalat" w:cs="Times New Roman"/>
                <w:color w:val="000000"/>
                <w:sz w:val="20"/>
                <w:szCs w:val="20"/>
              </w:rPr>
              <w:t>1</w:t>
            </w:r>
            <w:r>
              <w:rPr>
                <w:rFonts w:ascii="GHEA Grapalat" w:eastAsia="Times New Roman" w:hAnsi="GHEA Grapalat" w:cs="Times New Roman"/>
                <w:color w:val="000000"/>
                <w:sz w:val="20"/>
                <w:szCs w:val="20"/>
                <w:lang w:val="hy-AM"/>
              </w:rPr>
              <w:t>/1/1</w:t>
            </w:r>
          </w:p>
        </w:tc>
        <w:tc>
          <w:tcPr>
            <w:tcW w:w="378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jc w:val="center"/>
              <w:rPr>
                <w:rFonts w:ascii="GHEA Grapalat" w:hAnsi="GHEA Grapalat"/>
                <w:sz w:val="20"/>
                <w:szCs w:val="20"/>
                <w:lang w:eastAsia="en-US"/>
              </w:rPr>
            </w:pPr>
            <w:r>
              <w:rPr>
                <w:rFonts w:ascii="GHEA Grapalat" w:hAnsi="GHEA Grapalat"/>
                <w:sz w:val="20"/>
                <w:szCs w:val="20"/>
              </w:rPr>
              <w:t>Ներկայացուցչական ծախսեր</w:t>
            </w:r>
          </w:p>
        </w:tc>
        <w:tc>
          <w:tcPr>
            <w:tcW w:w="135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4237</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rPr>
              <w:t>2000,0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rPr>
              <w:t>2000,0</w:t>
            </w:r>
          </w:p>
        </w:tc>
      </w:tr>
      <w:tr w:rsidR="009C0B3D" w:rsidTr="009C0B3D">
        <w:trPr>
          <w:trHeight w:val="764"/>
        </w:trPr>
        <w:tc>
          <w:tcPr>
            <w:tcW w:w="1274"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1/1/1</w:t>
            </w:r>
          </w:p>
        </w:tc>
        <w:tc>
          <w:tcPr>
            <w:tcW w:w="378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jc w:val="center"/>
              <w:rPr>
                <w:rFonts w:ascii="GHEA Grapalat" w:hAnsi="GHEA Grapalat"/>
                <w:sz w:val="20"/>
                <w:szCs w:val="20"/>
                <w:lang w:eastAsia="en-US"/>
              </w:rPr>
            </w:pPr>
            <w:r>
              <w:rPr>
                <w:rFonts w:ascii="GHEA Grapalat" w:hAnsi="GHEA Grapalat"/>
                <w:sz w:val="20"/>
                <w:szCs w:val="20"/>
              </w:rPr>
              <w:t>Էներգետիկ ծառայություններ</w:t>
            </w:r>
          </w:p>
        </w:tc>
        <w:tc>
          <w:tcPr>
            <w:tcW w:w="135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4212</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rPr>
              <w:t>-1000,0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rPr>
              <w:t>1000,0</w:t>
            </w:r>
          </w:p>
        </w:tc>
      </w:tr>
      <w:tr w:rsidR="009C0B3D" w:rsidTr="009C0B3D">
        <w:trPr>
          <w:trHeight w:val="764"/>
        </w:trPr>
        <w:tc>
          <w:tcPr>
            <w:tcW w:w="1274"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1/1/1</w:t>
            </w:r>
          </w:p>
        </w:tc>
        <w:tc>
          <w:tcPr>
            <w:tcW w:w="378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jc w:val="center"/>
              <w:rPr>
                <w:rFonts w:ascii="GHEA Grapalat" w:hAnsi="GHEA Grapalat"/>
                <w:sz w:val="20"/>
                <w:szCs w:val="20"/>
                <w:lang w:eastAsia="en-US"/>
              </w:rPr>
            </w:pPr>
            <w:r>
              <w:rPr>
                <w:rFonts w:ascii="GHEA Grapalat" w:hAnsi="GHEA Grapalat"/>
                <w:sz w:val="20"/>
                <w:szCs w:val="20"/>
              </w:rPr>
              <w:t>Գույքի և սարքավորումների վարձակալություն</w:t>
            </w:r>
          </w:p>
        </w:tc>
        <w:tc>
          <w:tcPr>
            <w:tcW w:w="135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4216</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lang w:val="hy-AM"/>
              </w:rPr>
              <w:t>3</w:t>
            </w:r>
            <w:r>
              <w:rPr>
                <w:rFonts w:ascii="GHEA Grapalat" w:hAnsi="GHEA Grapalat"/>
                <w:color w:val="000000"/>
                <w:sz w:val="20"/>
                <w:szCs w:val="20"/>
              </w:rPr>
              <w:t>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eastAsia="en-US"/>
              </w:rPr>
            </w:pPr>
            <w:r>
              <w:rPr>
                <w:rFonts w:ascii="GHEA Grapalat" w:hAnsi="GHEA Grapalat"/>
                <w:color w:val="000000"/>
                <w:sz w:val="20"/>
                <w:szCs w:val="20"/>
                <w:lang w:val="hy-AM"/>
              </w:rPr>
              <w:t>3</w:t>
            </w:r>
            <w:r>
              <w:rPr>
                <w:rFonts w:ascii="GHEA Grapalat" w:hAnsi="GHEA Grapalat"/>
                <w:color w:val="000000"/>
                <w:sz w:val="20"/>
                <w:szCs w:val="20"/>
              </w:rPr>
              <w:t>000,0</w:t>
            </w:r>
          </w:p>
        </w:tc>
      </w:tr>
      <w:tr w:rsidR="009C0B3D" w:rsidTr="009C0B3D">
        <w:trPr>
          <w:trHeight w:val="719"/>
        </w:trPr>
        <w:tc>
          <w:tcPr>
            <w:tcW w:w="1274"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1/6/1</w:t>
            </w:r>
          </w:p>
        </w:tc>
        <w:tc>
          <w:tcPr>
            <w:tcW w:w="378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jc w:val="center"/>
              <w:rPr>
                <w:rFonts w:ascii="GHEA Grapalat" w:hAnsi="GHEA Grapalat"/>
                <w:sz w:val="20"/>
                <w:szCs w:val="20"/>
                <w:lang w:eastAsia="en-US"/>
              </w:rPr>
            </w:pPr>
            <w:r>
              <w:rPr>
                <w:rFonts w:ascii="GHEA Grapalat" w:hAnsi="GHEA Grapalat"/>
                <w:sz w:val="20"/>
                <w:szCs w:val="20"/>
              </w:rPr>
              <w:t>Ընթացիկ դրամաշնորհներ պետական և համայնքների ոչ առևտրային կազմակերպություններին</w:t>
            </w:r>
          </w:p>
        </w:tc>
        <w:tc>
          <w:tcPr>
            <w:tcW w:w="135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4637</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val="hy-AM" w:eastAsia="en-US"/>
              </w:rPr>
            </w:pPr>
            <w:r>
              <w:rPr>
                <w:rFonts w:ascii="GHEA Grapalat" w:hAnsi="GHEA Grapalat"/>
                <w:color w:val="000000"/>
                <w:sz w:val="20"/>
                <w:szCs w:val="20"/>
              </w:rPr>
              <w:t>-</w:t>
            </w:r>
            <w:r>
              <w:rPr>
                <w:rFonts w:ascii="GHEA Grapalat" w:hAnsi="GHEA Grapalat"/>
                <w:color w:val="000000"/>
                <w:sz w:val="20"/>
                <w:szCs w:val="20"/>
                <w:lang w:val="hy-AM"/>
              </w:rPr>
              <w:t>2</w:t>
            </w:r>
            <w:r>
              <w:rPr>
                <w:rFonts w:ascii="GHEA Grapalat" w:hAnsi="GHEA Grapalat"/>
                <w:color w:val="000000"/>
                <w:sz w:val="20"/>
                <w:szCs w:val="20"/>
              </w:rPr>
              <w:t>00</w:t>
            </w:r>
            <w:r>
              <w:rPr>
                <w:rFonts w:ascii="GHEA Grapalat" w:hAnsi="GHEA Grapalat"/>
                <w:color w:val="000000"/>
                <w:sz w:val="20"/>
                <w:szCs w:val="20"/>
                <w:lang w:val="hy-AM"/>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val="hy-AM" w:eastAsia="en-US"/>
              </w:rPr>
            </w:pPr>
            <w:r>
              <w:rPr>
                <w:rFonts w:ascii="GHEA Grapalat" w:hAnsi="GHEA Grapalat"/>
                <w:color w:val="000000"/>
                <w:sz w:val="20"/>
                <w:szCs w:val="20"/>
              </w:rPr>
              <w:t>-</w:t>
            </w:r>
            <w:r>
              <w:rPr>
                <w:rFonts w:ascii="GHEA Grapalat" w:hAnsi="GHEA Grapalat"/>
                <w:color w:val="000000"/>
                <w:sz w:val="20"/>
                <w:szCs w:val="20"/>
                <w:lang w:val="hy-AM"/>
              </w:rPr>
              <w:t>2</w:t>
            </w:r>
            <w:r>
              <w:rPr>
                <w:rFonts w:ascii="GHEA Grapalat" w:hAnsi="GHEA Grapalat"/>
                <w:color w:val="000000"/>
                <w:sz w:val="20"/>
                <w:szCs w:val="20"/>
              </w:rPr>
              <w:t>00</w:t>
            </w:r>
            <w:r>
              <w:rPr>
                <w:rFonts w:ascii="GHEA Grapalat" w:hAnsi="GHEA Grapalat"/>
                <w:color w:val="000000"/>
                <w:sz w:val="20"/>
                <w:szCs w:val="20"/>
                <w:lang w:val="hy-AM"/>
              </w:rPr>
              <w:t>00.0</w:t>
            </w:r>
          </w:p>
        </w:tc>
      </w:tr>
      <w:tr w:rsidR="009C0B3D" w:rsidTr="009C0B3D">
        <w:trPr>
          <w:trHeight w:val="953"/>
        </w:trPr>
        <w:tc>
          <w:tcPr>
            <w:tcW w:w="1274"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1/6/1</w:t>
            </w:r>
          </w:p>
        </w:tc>
        <w:tc>
          <w:tcPr>
            <w:tcW w:w="378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jc w:val="center"/>
              <w:rPr>
                <w:rFonts w:ascii="GHEA Grapalat" w:hAnsi="GHEA Grapalat"/>
                <w:sz w:val="20"/>
                <w:szCs w:val="20"/>
                <w:lang w:eastAsia="en-US"/>
              </w:rPr>
            </w:pPr>
            <w:r>
              <w:rPr>
                <w:rFonts w:ascii="GHEA Grapalat" w:hAnsi="GHEA Grapalat"/>
                <w:sz w:val="20"/>
                <w:szCs w:val="20"/>
              </w:rPr>
              <w:t>Այլ կապիտալ դրամաշնորհներ</w:t>
            </w:r>
          </w:p>
        </w:tc>
        <w:tc>
          <w:tcPr>
            <w:tcW w:w="135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4657</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val="hy-AM" w:eastAsia="en-US"/>
              </w:rPr>
            </w:pPr>
            <w:r>
              <w:rPr>
                <w:rFonts w:ascii="GHEA Grapalat" w:hAnsi="GHEA Grapalat"/>
                <w:color w:val="000000"/>
                <w:sz w:val="20"/>
                <w:szCs w:val="20"/>
                <w:lang w:val="hy-AM"/>
              </w:rPr>
              <w:t>2</w:t>
            </w:r>
            <w:r>
              <w:rPr>
                <w:rFonts w:ascii="GHEA Grapalat" w:hAnsi="GHEA Grapalat"/>
                <w:color w:val="000000"/>
                <w:sz w:val="20"/>
                <w:szCs w:val="20"/>
              </w:rPr>
              <w:t>00</w:t>
            </w:r>
            <w:r>
              <w:rPr>
                <w:rFonts w:ascii="GHEA Grapalat" w:hAnsi="GHEA Grapalat"/>
                <w:color w:val="000000"/>
                <w:sz w:val="20"/>
                <w:szCs w:val="20"/>
                <w:lang w:val="hy-AM"/>
              </w:rPr>
              <w:t>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val="hy-AM" w:eastAsia="en-US"/>
              </w:rPr>
            </w:pPr>
            <w:r>
              <w:rPr>
                <w:rFonts w:ascii="GHEA Grapalat" w:hAnsi="GHEA Grapalat"/>
                <w:color w:val="000000"/>
                <w:sz w:val="20"/>
                <w:szCs w:val="20"/>
                <w:lang w:val="hy-AM"/>
              </w:rPr>
              <w:t>2</w:t>
            </w:r>
            <w:r>
              <w:rPr>
                <w:rFonts w:ascii="GHEA Grapalat" w:hAnsi="GHEA Grapalat"/>
                <w:color w:val="000000"/>
                <w:sz w:val="20"/>
                <w:szCs w:val="20"/>
              </w:rPr>
              <w:t>00</w:t>
            </w:r>
            <w:r>
              <w:rPr>
                <w:rFonts w:ascii="GHEA Grapalat" w:hAnsi="GHEA Grapalat"/>
                <w:color w:val="000000"/>
                <w:sz w:val="20"/>
                <w:szCs w:val="20"/>
                <w:lang w:val="hy-AM"/>
              </w:rPr>
              <w:t>00.0</w:t>
            </w:r>
          </w:p>
        </w:tc>
      </w:tr>
      <w:tr w:rsidR="009C0B3D" w:rsidTr="009C0B3D">
        <w:trPr>
          <w:trHeight w:val="953"/>
        </w:trPr>
        <w:tc>
          <w:tcPr>
            <w:tcW w:w="1274"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243"/>
              <w:jc w:val="center"/>
              <w:rPr>
                <w:rFonts w:ascii="GHEA Grapalat" w:eastAsia="Times New Roman" w:hAnsi="GHEA Grapalat" w:cs="Times New Roman"/>
                <w:color w:val="000000"/>
                <w:sz w:val="20"/>
                <w:szCs w:val="20"/>
                <w:lang w:val="hy-AM"/>
              </w:rPr>
            </w:pPr>
            <w:r>
              <w:rPr>
                <w:rFonts w:ascii="GHEA Grapalat" w:eastAsia="Times New Roman" w:hAnsi="GHEA Grapalat" w:cs="Times New Roman"/>
                <w:color w:val="000000"/>
                <w:sz w:val="20"/>
                <w:szCs w:val="20"/>
                <w:lang w:val="hy-AM"/>
              </w:rPr>
              <w:t>4/5/1</w:t>
            </w:r>
          </w:p>
        </w:tc>
        <w:tc>
          <w:tcPr>
            <w:tcW w:w="378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jc w:val="center"/>
              <w:rPr>
                <w:rFonts w:ascii="GHEA Grapalat" w:hAnsi="GHEA Grapalat"/>
                <w:sz w:val="20"/>
                <w:szCs w:val="20"/>
                <w:lang w:val="hy-AM" w:eastAsia="en-US"/>
              </w:rPr>
            </w:pPr>
            <w:r>
              <w:rPr>
                <w:rFonts w:ascii="GHEA Grapalat" w:hAnsi="GHEA Grapalat"/>
                <w:sz w:val="20"/>
                <w:szCs w:val="20"/>
                <w:lang w:val="hy-AM"/>
              </w:rPr>
              <w:t>Շենքերի և կառույցների ընթացիկ նորոգում և պահպանում</w:t>
            </w:r>
          </w:p>
        </w:tc>
        <w:tc>
          <w:tcPr>
            <w:tcW w:w="1350" w:type="dxa"/>
            <w:tcBorders>
              <w:top w:val="single" w:sz="4" w:space="0" w:color="auto"/>
              <w:left w:val="single" w:sz="4" w:space="0" w:color="auto"/>
              <w:bottom w:val="single" w:sz="4" w:space="0" w:color="auto"/>
              <w:right w:val="single" w:sz="4" w:space="0" w:color="auto"/>
            </w:tcBorders>
            <w:vAlign w:val="center"/>
            <w:hideMark/>
          </w:tcPr>
          <w:p w:rsidR="009C0B3D" w:rsidRDefault="009C0B3D">
            <w:pPr>
              <w:spacing w:after="0" w:line="240" w:lineRule="auto"/>
              <w:ind w:left="175"/>
              <w:jc w:val="both"/>
              <w:rPr>
                <w:rFonts w:ascii="GHEA Grapalat" w:eastAsia="Times New Roman" w:hAnsi="GHEA Grapalat" w:cs="Times New Roman"/>
                <w:color w:val="000000"/>
                <w:sz w:val="20"/>
                <w:szCs w:val="20"/>
                <w:lang w:val="hy-AM"/>
              </w:rPr>
            </w:pPr>
            <w:r>
              <w:rPr>
                <w:rFonts w:ascii="GHEA Grapalat" w:eastAsia="Times New Roman" w:hAnsi="GHEA Grapalat" w:cs="Times New Roman"/>
                <w:color w:val="000000"/>
                <w:sz w:val="20"/>
                <w:szCs w:val="20"/>
                <w:lang w:val="hy-AM"/>
              </w:rPr>
              <w:t>4251</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val="hy-AM" w:eastAsia="en-US"/>
              </w:rPr>
            </w:pPr>
            <w:r>
              <w:rPr>
                <w:rFonts w:ascii="GHEA Grapalat" w:hAnsi="GHEA Grapalat"/>
                <w:color w:val="000000"/>
                <w:sz w:val="20"/>
                <w:szCs w:val="20"/>
                <w:lang w:val="hy-AM"/>
              </w:rPr>
              <w:t>-2000.0</w:t>
            </w:r>
          </w:p>
        </w:tc>
        <w:tc>
          <w:tcPr>
            <w:tcW w:w="1440" w:type="dxa"/>
            <w:tcBorders>
              <w:top w:val="single" w:sz="4" w:space="0" w:color="auto"/>
              <w:left w:val="single" w:sz="4" w:space="0" w:color="auto"/>
              <w:bottom w:val="single" w:sz="4" w:space="0" w:color="auto"/>
              <w:right w:val="single" w:sz="4" w:space="0" w:color="auto"/>
            </w:tcBorders>
            <w:vAlign w:val="bottom"/>
            <w:hideMark/>
          </w:tcPr>
          <w:p w:rsidR="009C0B3D" w:rsidRDefault="009C0B3D">
            <w:pPr>
              <w:jc w:val="both"/>
              <w:rPr>
                <w:rFonts w:ascii="GHEA Grapalat" w:hAnsi="GHEA Grapalat"/>
                <w:color w:val="000000"/>
                <w:sz w:val="20"/>
                <w:szCs w:val="20"/>
                <w:lang w:val="hy-AM" w:eastAsia="en-US"/>
              </w:rPr>
            </w:pPr>
            <w:r>
              <w:rPr>
                <w:rFonts w:ascii="GHEA Grapalat" w:hAnsi="GHEA Grapalat"/>
                <w:color w:val="000000"/>
                <w:sz w:val="20"/>
                <w:szCs w:val="20"/>
                <w:lang w:val="hy-AM"/>
              </w:rPr>
              <w:t>-2000.0</w:t>
            </w:r>
          </w:p>
        </w:tc>
      </w:tr>
    </w:tbl>
    <w:p w:rsidR="009C0B3D" w:rsidRDefault="009C0B3D" w:rsidP="009C0B3D">
      <w:pPr>
        <w:spacing w:after="0" w:line="240" w:lineRule="auto"/>
        <w:jc w:val="both"/>
        <w:rPr>
          <w:rFonts w:ascii="GHEA Grapalat" w:hAnsi="GHEA Grapalat" w:cs="Sylfaen"/>
          <w:sz w:val="20"/>
          <w:szCs w:val="20"/>
          <w:lang w:val="hy-AM" w:eastAsia="en-US"/>
        </w:rPr>
      </w:pPr>
      <w:r>
        <w:rPr>
          <w:rFonts w:ascii="GHEA Grapalat" w:hAnsi="GHEA Grapalat" w:cs="Sylfaen"/>
          <w:sz w:val="20"/>
          <w:szCs w:val="20"/>
          <w:lang w:val="hy-AM"/>
        </w:rPr>
        <w:t xml:space="preserve">                             </w:t>
      </w:r>
    </w:p>
    <w:p w:rsidR="009C0B3D" w:rsidRDefault="009C0B3D" w:rsidP="009C0B3D">
      <w:pPr>
        <w:spacing w:after="0" w:line="240" w:lineRule="auto"/>
        <w:jc w:val="both"/>
        <w:rPr>
          <w:rFonts w:ascii="GHEA Grapalat" w:hAnsi="GHEA Grapalat" w:cs="Sylfaen"/>
          <w:sz w:val="20"/>
          <w:szCs w:val="20"/>
          <w:lang w:val="hy-AM"/>
        </w:rPr>
      </w:pPr>
    </w:p>
    <w:p w:rsidR="009C0B3D" w:rsidRDefault="009C0B3D" w:rsidP="009C0B3D">
      <w:pPr>
        <w:spacing w:after="100" w:afterAutospacing="1" w:line="240" w:lineRule="auto"/>
        <w:ind w:firstLine="425"/>
        <w:contextualSpacing/>
        <w:rPr>
          <w:rFonts w:ascii="GHEA Grapalat" w:hAnsi="GHEA Grapalat"/>
          <w:sz w:val="20"/>
          <w:lang w:val="hy-AM"/>
        </w:rPr>
      </w:pPr>
    </w:p>
    <w:p w:rsidR="009C0B3D" w:rsidRDefault="009C0B3D" w:rsidP="009C0B3D">
      <w:pPr>
        <w:spacing w:after="100" w:afterAutospacing="1" w:line="240" w:lineRule="auto"/>
        <w:contextualSpacing/>
        <w:rPr>
          <w:rFonts w:ascii="GHEA Grapalat" w:hAnsi="GHEA Grapalat"/>
          <w:sz w:val="20"/>
          <w:lang w:val="hy-AM"/>
        </w:rPr>
      </w:pPr>
    </w:p>
    <w:p w:rsidR="009C0B3D" w:rsidRDefault="009C0B3D" w:rsidP="009C0B3D">
      <w:pPr>
        <w:spacing w:after="100" w:afterAutospacing="1" w:line="240" w:lineRule="auto"/>
        <w:contextualSpacing/>
        <w:rPr>
          <w:rFonts w:ascii="GHEA Grapalat" w:hAnsi="GHEA Grapalat"/>
          <w:sz w:val="20"/>
          <w:lang w:val="hy-AM"/>
        </w:rPr>
      </w:pPr>
    </w:p>
    <w:p w:rsidR="00DE3C0A" w:rsidRDefault="00DE3C0A"/>
    <w:sectPr w:rsidR="00DE3C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C0B3D"/>
    <w:rsid w:val="009C0B3D"/>
    <w:rsid w:val="00DE3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6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2024-09-04T11:03:00Z</dcterms:created>
  <dcterms:modified xsi:type="dcterms:W3CDTF">2024-09-04T11:03:00Z</dcterms:modified>
</cp:coreProperties>
</file>